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570" w:lineRule="exact"/>
        <w:jc w:val="center"/>
        <w:textAlignment w:val="auto"/>
        <w:outlineLvl w:val="9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农业硕士</w:t>
      </w:r>
      <w:r>
        <w:rPr>
          <w:rFonts w:hint="eastAsia" w:ascii="黑体" w:hAnsi="黑体" w:eastAsia="黑体"/>
          <w:kern w:val="0"/>
          <w:sz w:val="32"/>
          <w:szCs w:val="32"/>
        </w:rPr>
        <w:t>渔业发展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领域</w:t>
      </w:r>
      <w:r>
        <w:rPr>
          <w:rFonts w:hint="eastAsia" w:ascii="黑体" w:hAnsi="黑体" w:eastAsia="黑体"/>
          <w:kern w:val="0"/>
          <w:sz w:val="32"/>
          <w:szCs w:val="32"/>
        </w:rPr>
        <w:t>专业学位研究生培养方案（2019版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）</w:t>
      </w:r>
    </w:p>
    <w:tbl>
      <w:tblPr>
        <w:tblStyle w:val="5"/>
        <w:tblW w:w="90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38"/>
        <w:gridCol w:w="1204"/>
        <w:gridCol w:w="1232"/>
        <w:gridCol w:w="1466"/>
        <w:gridCol w:w="980"/>
        <w:gridCol w:w="850"/>
        <w:gridCol w:w="1060"/>
        <w:gridCol w:w="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21" w:type="dxa"/>
            <w:gridSpan w:val="2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学院名称</w:t>
            </w:r>
          </w:p>
        </w:tc>
        <w:tc>
          <w:tcPr>
            <w:tcW w:w="3902" w:type="dxa"/>
            <w:gridSpan w:val="3"/>
            <w:noWrap/>
            <w:vAlign w:val="center"/>
          </w:tcPr>
          <w:p>
            <w:pPr>
              <w:spacing w:line="27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动物科技学院</w:t>
            </w:r>
          </w:p>
        </w:tc>
        <w:tc>
          <w:tcPr>
            <w:tcW w:w="980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类别（领域）</w:t>
            </w:r>
            <w:r>
              <w:rPr>
                <w:rFonts w:hint="eastAsia"/>
                <w:b/>
                <w:kern w:val="0"/>
                <w:szCs w:val="21"/>
              </w:rPr>
              <w:t>名称</w:t>
            </w:r>
          </w:p>
        </w:tc>
        <w:tc>
          <w:tcPr>
            <w:tcW w:w="2742" w:type="dxa"/>
            <w:gridSpan w:val="3"/>
            <w:noWrap/>
            <w:vAlign w:val="center"/>
          </w:tcPr>
          <w:p>
            <w:pPr>
              <w:spacing w:line="27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渔业发展（095134）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21" w:type="dxa"/>
            <w:gridSpan w:val="2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涉及方向</w:t>
            </w:r>
          </w:p>
        </w:tc>
        <w:tc>
          <w:tcPr>
            <w:tcW w:w="7624" w:type="dxa"/>
            <w:gridSpan w:val="7"/>
            <w:noWrap/>
            <w:vAlign w:val="center"/>
          </w:tcPr>
          <w:p>
            <w:pPr>
              <w:spacing w:line="300" w:lineRule="exact"/>
              <w:jc w:val="lef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水产养殖、渔业资源养护与利用、水生动物疫病防控、养殖水环境监测与调控、渔政管理</w:t>
            </w:r>
            <w:r>
              <w:rPr>
                <w:rFonts w:hint="eastAsia"/>
                <w:kern w:val="0"/>
                <w:szCs w:val="21"/>
                <w:lang w:eastAsia="zh-CN"/>
              </w:rPr>
              <w:t>、水产营养与饲料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421" w:type="dxa"/>
            <w:gridSpan w:val="2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培养目标</w:t>
            </w:r>
            <w:r>
              <w:rPr>
                <w:rFonts w:hint="eastAsia"/>
                <w:b/>
                <w:kern w:val="0"/>
                <w:szCs w:val="21"/>
              </w:rPr>
              <w:t>与定位</w:t>
            </w:r>
          </w:p>
        </w:tc>
        <w:tc>
          <w:tcPr>
            <w:tcW w:w="7624" w:type="dxa"/>
            <w:gridSpan w:val="7"/>
            <w:noWrap/>
            <w:vAlign w:val="center"/>
          </w:tcPr>
          <w:p>
            <w:pPr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培养具备从事渔业生产、</w:t>
            </w:r>
            <w:r>
              <w:rPr>
                <w:rFonts w:hint="eastAsia"/>
                <w:kern w:val="0"/>
                <w:szCs w:val="21"/>
                <w:lang w:eastAsia="zh-CN"/>
              </w:rPr>
              <w:t>职业</w:t>
            </w:r>
            <w:r>
              <w:rPr>
                <w:rFonts w:hint="eastAsia"/>
                <w:kern w:val="0"/>
                <w:szCs w:val="21"/>
              </w:rPr>
              <w:t>教育、科技研发、技术推广</w:t>
            </w:r>
            <w:r>
              <w:rPr>
                <w:rFonts w:hint="eastAsia"/>
                <w:kern w:val="0"/>
                <w:szCs w:val="21"/>
                <w:lang w:eastAsia="zh-CN"/>
              </w:rPr>
              <w:t>及服务新时代乡村振兴发展</w:t>
            </w:r>
            <w:r>
              <w:rPr>
                <w:rFonts w:hint="eastAsia"/>
                <w:kern w:val="0"/>
                <w:szCs w:val="21"/>
              </w:rPr>
              <w:t>等工作技能</w:t>
            </w:r>
            <w:r>
              <w:rPr>
                <w:rFonts w:hint="eastAsia"/>
                <w:kern w:val="0"/>
                <w:szCs w:val="21"/>
                <w:lang w:eastAsia="zh-CN"/>
              </w:rPr>
              <w:t>的</w:t>
            </w:r>
            <w:r>
              <w:rPr>
                <w:rFonts w:hint="eastAsia"/>
                <w:kern w:val="0"/>
                <w:szCs w:val="21"/>
              </w:rPr>
              <w:t>复合</w:t>
            </w:r>
            <w:r>
              <w:rPr>
                <w:rFonts w:hint="eastAsia"/>
                <w:kern w:val="0"/>
                <w:szCs w:val="21"/>
                <w:lang w:eastAsia="zh-CN"/>
              </w:rPr>
              <w:t>应用型</w:t>
            </w:r>
            <w:r>
              <w:rPr>
                <w:rFonts w:hint="eastAsia"/>
                <w:kern w:val="0"/>
                <w:szCs w:val="21"/>
              </w:rPr>
              <w:t>人才。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21" w:type="dxa"/>
            <w:gridSpan w:val="2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学习方式</w:t>
            </w:r>
          </w:p>
        </w:tc>
        <w:tc>
          <w:tcPr>
            <w:tcW w:w="7624" w:type="dxa"/>
            <w:gridSpan w:val="7"/>
            <w:noWrap/>
            <w:vAlign w:val="center"/>
          </w:tcPr>
          <w:p>
            <w:pPr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全日制/非全日制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421" w:type="dxa"/>
            <w:gridSpan w:val="2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应修学分</w:t>
            </w:r>
          </w:p>
        </w:tc>
        <w:tc>
          <w:tcPr>
            <w:tcW w:w="7624" w:type="dxa"/>
            <w:gridSpan w:val="7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总学分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。其中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课程学分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培养环节=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学分（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论文开题报告</w:t>
            </w: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学分，学术交流</w:t>
            </w: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，实践研究=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学分，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中期考核</w:t>
            </w: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421" w:type="dxa"/>
            <w:gridSpan w:val="2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学习年限</w:t>
            </w:r>
          </w:p>
        </w:tc>
        <w:tc>
          <w:tcPr>
            <w:tcW w:w="7624" w:type="dxa"/>
            <w:gridSpan w:val="7"/>
            <w:noWrap/>
            <w:vAlign w:val="center"/>
          </w:tcPr>
          <w:p>
            <w:pPr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基本学习年限3年，全日制最长4年，非全日制最长5年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045" w:type="dxa"/>
            <w:gridSpan w:val="9"/>
            <w:noWrap/>
            <w:vAlign w:val="center"/>
          </w:tcPr>
          <w:p>
            <w:pPr>
              <w:tabs>
                <w:tab w:val="left" w:pos="2787"/>
              </w:tabs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课程设置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3" w:type="dxa"/>
            <w:noWrap/>
            <w:vAlign w:val="center"/>
          </w:tcPr>
          <w:p>
            <w:pPr>
              <w:spacing w:line="270" w:lineRule="exact"/>
              <w:ind w:right="-92" w:rightChars="-44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课程类别</w:t>
            </w: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课程编</w:t>
            </w:r>
            <w:r>
              <w:rPr>
                <w:rFonts w:hint="eastAsia"/>
                <w:b/>
                <w:kern w:val="0"/>
                <w:szCs w:val="21"/>
              </w:rPr>
              <w:t>码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课程名称</w:t>
            </w:r>
          </w:p>
        </w:tc>
        <w:tc>
          <w:tcPr>
            <w:tcW w:w="980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学分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70" w:lineRule="exact"/>
              <w:ind w:right="-97" w:rightChars="-46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学时</w:t>
            </w:r>
          </w:p>
        </w:tc>
        <w:tc>
          <w:tcPr>
            <w:tcW w:w="1060" w:type="dxa"/>
            <w:vAlign w:val="center"/>
          </w:tcPr>
          <w:p>
            <w:pPr>
              <w:spacing w:line="270" w:lineRule="exact"/>
              <w:ind w:left="-105" w:leftChars="-50" w:right="-105" w:rightChars="-50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开课学期</w:t>
            </w:r>
          </w:p>
        </w:tc>
        <w:tc>
          <w:tcPr>
            <w:tcW w:w="832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83" w:type="dxa"/>
            <w:vMerge w:val="restart"/>
            <w:noWrap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公共课</w:t>
            </w:r>
          </w:p>
          <w:p>
            <w:pPr>
              <w:jc w:val="center"/>
              <w:rPr>
                <w:rFonts w:hint="eastAsia" w:eastAsia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/>
                <w:b/>
                <w:kern w:val="0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kern w:val="0"/>
                <w:szCs w:val="21"/>
                <w:lang w:val="en-US" w:eastAsia="zh-CN"/>
              </w:rPr>
              <w:t>8学分</w:t>
            </w:r>
            <w:r>
              <w:rPr>
                <w:rFonts w:hint="eastAsia"/>
                <w:b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pd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6181001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中国特色社会主义理论与实践研究</w:t>
            </w:r>
          </w:p>
        </w:tc>
        <w:tc>
          <w:tcPr>
            <w:tcW w:w="98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36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秋</w:t>
            </w:r>
          </w:p>
        </w:tc>
        <w:tc>
          <w:tcPr>
            <w:tcW w:w="832" w:type="dxa"/>
            <w:noWrap/>
            <w:vAlign w:val="center"/>
          </w:tcPr>
          <w:p>
            <w:pPr>
              <w:spacing w:line="270" w:lineRule="exact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383" w:type="dxa"/>
            <w:vMerge w:val="continue"/>
            <w:noWrap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pd6181002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自然辩证法概论</w:t>
            </w:r>
          </w:p>
        </w:tc>
        <w:tc>
          <w:tcPr>
            <w:tcW w:w="98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18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春、秋</w:t>
            </w:r>
          </w:p>
        </w:tc>
        <w:tc>
          <w:tcPr>
            <w:tcW w:w="832" w:type="dxa"/>
            <w:noWrap/>
            <w:vAlign w:val="center"/>
          </w:tcPr>
          <w:p>
            <w:pPr>
              <w:spacing w:line="27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383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pd6190001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专业学位硕士外国语</w:t>
            </w:r>
          </w:p>
        </w:tc>
        <w:tc>
          <w:tcPr>
            <w:tcW w:w="980" w:type="dxa"/>
            <w:noWrap/>
            <w:vAlign w:val="center"/>
          </w:tcPr>
          <w:p>
            <w:pPr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48</w:t>
            </w:r>
          </w:p>
        </w:tc>
        <w:tc>
          <w:tcPr>
            <w:tcW w:w="1060" w:type="dxa"/>
            <w:vAlign w:val="center"/>
          </w:tcPr>
          <w:p>
            <w:pPr>
              <w:spacing w:line="4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春、秋</w:t>
            </w:r>
          </w:p>
        </w:tc>
        <w:tc>
          <w:tcPr>
            <w:tcW w:w="832" w:type="dxa"/>
            <w:noWrap/>
            <w:vAlign w:val="center"/>
          </w:tcPr>
          <w:p>
            <w:pPr>
              <w:spacing w:line="270" w:lineRule="exact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383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pd6131003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现代农业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创新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与乡村振兴战略</w:t>
            </w:r>
          </w:p>
        </w:tc>
        <w:tc>
          <w:tcPr>
            <w:tcW w:w="98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32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秋</w:t>
            </w:r>
          </w:p>
        </w:tc>
        <w:tc>
          <w:tcPr>
            <w:tcW w:w="832" w:type="dxa"/>
            <w:noWrap/>
            <w:vAlign w:val="center"/>
          </w:tcPr>
          <w:p>
            <w:pPr>
              <w:spacing w:line="270" w:lineRule="exact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vMerge w:val="restart"/>
            <w:noWrap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领域主干课</w:t>
            </w:r>
          </w:p>
          <w:p>
            <w:pPr>
              <w:jc w:val="center"/>
              <w:rPr>
                <w:rFonts w:hint="eastAsia" w:eastAsia="宋体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0"/>
                <w:szCs w:val="21"/>
                <w:lang w:val="en-US" w:eastAsia="zh-CN"/>
              </w:rPr>
              <w:t>（11学分）</w:t>
            </w:r>
          </w:p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pd7044008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现代渔业进展</w:t>
            </w:r>
          </w:p>
        </w:tc>
        <w:tc>
          <w:tcPr>
            <w:tcW w:w="98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48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秋</w:t>
            </w:r>
          </w:p>
        </w:tc>
        <w:tc>
          <w:tcPr>
            <w:tcW w:w="832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383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pd7044009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渔业案例分析与研讨</w:t>
            </w:r>
          </w:p>
        </w:tc>
        <w:tc>
          <w:tcPr>
            <w:tcW w:w="98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32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春</w:t>
            </w:r>
          </w:p>
        </w:tc>
        <w:tc>
          <w:tcPr>
            <w:tcW w:w="832" w:type="dxa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83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7044032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渔业政策与管理</w:t>
            </w:r>
          </w:p>
        </w:tc>
        <w:tc>
          <w:tcPr>
            <w:tcW w:w="98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hint="eastAsia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秋</w:t>
            </w:r>
          </w:p>
        </w:tc>
        <w:tc>
          <w:tcPr>
            <w:tcW w:w="832" w:type="dxa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83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pd70440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饲料配制与投饲技术</w:t>
            </w:r>
          </w:p>
        </w:tc>
        <w:tc>
          <w:tcPr>
            <w:tcW w:w="98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春</w:t>
            </w:r>
          </w:p>
        </w:tc>
        <w:tc>
          <w:tcPr>
            <w:tcW w:w="832" w:type="dxa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83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pd7044011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水域环境保护与治理</w:t>
            </w:r>
          </w:p>
        </w:tc>
        <w:tc>
          <w:tcPr>
            <w:tcW w:w="98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85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32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秋</w:t>
            </w:r>
          </w:p>
        </w:tc>
        <w:tc>
          <w:tcPr>
            <w:tcW w:w="832" w:type="dxa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vMerge w:val="restart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选修课</w:t>
            </w:r>
          </w:p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（</w:t>
            </w:r>
            <w:r>
              <w:rPr>
                <w:rFonts w:hint="eastAsia"/>
                <w:b/>
                <w:bCs/>
                <w:szCs w:val="21"/>
              </w:rPr>
              <w:t>≥3学分</w:t>
            </w:r>
            <w:r>
              <w:rPr>
                <w:rFonts w:hint="eastAsia"/>
                <w:b/>
                <w:lang w:eastAsia="zh-CN"/>
              </w:rPr>
              <w:t>）</w:t>
            </w: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7044010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动物育种原理与方法</w:t>
            </w:r>
          </w:p>
        </w:tc>
        <w:tc>
          <w:tcPr>
            <w:tcW w:w="98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32</w:t>
            </w:r>
          </w:p>
        </w:tc>
        <w:tc>
          <w:tcPr>
            <w:tcW w:w="106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秋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</w:pPr>
            <w:r>
              <w:t>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7044031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养殖水环境监测与调控技术</w:t>
            </w:r>
          </w:p>
        </w:tc>
        <w:tc>
          <w:tcPr>
            <w:tcW w:w="98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32</w:t>
            </w:r>
          </w:p>
        </w:tc>
        <w:tc>
          <w:tcPr>
            <w:tcW w:w="106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秋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pd7044012</w:t>
            </w:r>
          </w:p>
        </w:tc>
        <w:tc>
          <w:tcPr>
            <w:tcW w:w="269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渔业资源调查与评估</w:t>
            </w:r>
          </w:p>
        </w:tc>
        <w:tc>
          <w:tcPr>
            <w:tcW w:w="98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32</w:t>
            </w:r>
          </w:p>
        </w:tc>
        <w:tc>
          <w:tcPr>
            <w:tcW w:w="106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春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7044028</w:t>
            </w: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渔业资源生物学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32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7044026</w:t>
            </w: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水生动物病害学研究进展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32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春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7044027</w:t>
            </w: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水生动物营养研究进展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32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春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83" w:type="dxa"/>
            <w:vMerge w:val="restart"/>
            <w:noWrap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补修课</w:t>
            </w:r>
          </w:p>
        </w:tc>
        <w:tc>
          <w:tcPr>
            <w:tcW w:w="7662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以同等学力或跨专业录取的研究生，或者学院、导师认为该生需要补修的，应补修本专业或相近专业本科高年级主干课程不少于3门，补修课不计学分。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3044318</w:t>
            </w: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水产动物病害学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48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补修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3044315</w:t>
            </w: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水产动物营养与饲料学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48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补修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2043308</w:t>
            </w: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水域生态学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48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春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补修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3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3044317</w:t>
            </w: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水产动物育种学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48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补修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045" w:type="dxa"/>
            <w:gridSpan w:val="9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培养环节时间安排及要求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625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名称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学分</w:t>
            </w:r>
          </w:p>
        </w:tc>
        <w:tc>
          <w:tcPr>
            <w:tcW w:w="5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2625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1．培养计划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课程学习计划入学后1个月内制订完成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  <w:jc w:val="center"/>
        </w:trPr>
        <w:tc>
          <w:tcPr>
            <w:tcW w:w="2625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2．论文开题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jc w:val="lef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第3学期结束前完成</w:t>
            </w:r>
            <w:r>
              <w:rPr>
                <w:rFonts w:hint="eastAsia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625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3．学术交流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参加各</w:t>
            </w:r>
            <w:bookmarkStart w:id="0" w:name="_GoBack"/>
            <w:bookmarkEnd w:id="0"/>
            <w:r>
              <w:rPr>
                <w:rFonts w:hint="eastAsia"/>
                <w:kern w:val="0"/>
                <w:szCs w:val="21"/>
              </w:rPr>
              <w:t>类学术活动不少于4次，参加学术诚信与学术规范的专题讲座不少于2次。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exact"/>
          <w:jc w:val="center"/>
        </w:trPr>
        <w:tc>
          <w:tcPr>
            <w:tcW w:w="2625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4．实践研究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5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包含制订实践学习计划</w:t>
            </w:r>
            <w:r>
              <w:rPr>
                <w:rFonts w:hint="eastAsia"/>
                <w:kern w:val="0"/>
                <w:szCs w:val="21"/>
              </w:rPr>
              <w:t>、</w:t>
            </w:r>
            <w:r>
              <w:rPr>
                <w:kern w:val="0"/>
                <w:szCs w:val="21"/>
              </w:rPr>
              <w:t>实践研究</w:t>
            </w:r>
            <w:r>
              <w:rPr>
                <w:rFonts w:hint="eastAsia"/>
                <w:kern w:val="0"/>
                <w:szCs w:val="21"/>
              </w:rPr>
              <w:t>、撰写实践日志（校外研究以日志形式呈现，校内研究以周志形式呈现，实践研究不少于1年，其中校外研究不少于四个月）、</w:t>
            </w:r>
            <w:r>
              <w:rPr>
                <w:kern w:val="0"/>
                <w:szCs w:val="21"/>
              </w:rPr>
              <w:t>撰写实践总结报告</w:t>
            </w:r>
            <w:r>
              <w:rPr>
                <w:rFonts w:hint="eastAsia"/>
                <w:kern w:val="0"/>
                <w:szCs w:val="21"/>
              </w:rPr>
              <w:t>（不少于5000字）、</w:t>
            </w:r>
            <w:r>
              <w:rPr>
                <w:kern w:val="0"/>
                <w:szCs w:val="21"/>
              </w:rPr>
              <w:t>实践研究考核等。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2625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5．中期考核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在第3至5学期进行。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